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74786" w14:textId="77777777" w:rsidR="00A4691E" w:rsidRDefault="00914DE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21CFC283" w14:textId="77777777" w:rsidR="00A4691E" w:rsidRDefault="00914DE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A65E578" w14:textId="194684BD" w:rsidR="00A4691E" w:rsidRDefault="00914DE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1B3041">
        <w:rPr>
          <w:rFonts w:ascii="Corbel" w:hAnsi="Corbel"/>
          <w:i/>
          <w:smallCaps/>
          <w:sz w:val="24"/>
          <w:szCs w:val="24"/>
        </w:rPr>
        <w:t xml:space="preserve"> 2022-2024</w:t>
      </w:r>
    </w:p>
    <w:p w14:paraId="72210A2D" w14:textId="77777777" w:rsidR="00A4691E" w:rsidRDefault="00914DE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8905B87" w14:textId="2F301745" w:rsidR="00A4691E" w:rsidRDefault="00914DE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491D">
        <w:rPr>
          <w:rFonts w:ascii="Corbel" w:hAnsi="Corbel"/>
          <w:sz w:val="20"/>
          <w:szCs w:val="20"/>
        </w:rPr>
        <w:t>ok akademicki   202</w:t>
      </w:r>
      <w:r w:rsidR="001B3041">
        <w:rPr>
          <w:rFonts w:ascii="Corbel" w:hAnsi="Corbel"/>
          <w:sz w:val="20"/>
          <w:szCs w:val="20"/>
        </w:rPr>
        <w:t>2-2023</w:t>
      </w:r>
      <w:bookmarkStart w:id="0" w:name="_GoBack"/>
      <w:bookmarkEnd w:id="0"/>
    </w:p>
    <w:p w14:paraId="55143B8F" w14:textId="77777777" w:rsidR="00A4691E" w:rsidRDefault="00A4691E">
      <w:pPr>
        <w:spacing w:after="0" w:line="240" w:lineRule="auto"/>
        <w:rPr>
          <w:rFonts w:ascii="Corbel" w:hAnsi="Corbel"/>
          <w:sz w:val="24"/>
          <w:szCs w:val="24"/>
        </w:rPr>
      </w:pPr>
    </w:p>
    <w:p w14:paraId="043DBDFC" w14:textId="77777777" w:rsidR="00A4691E" w:rsidRDefault="00914DE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A4691E" w:rsidRPr="0033062E" w14:paraId="7F4BB10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E28A4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9E8FA" w14:textId="45EC4D71" w:rsidR="00A4691E" w:rsidRPr="002E4E13" w:rsidRDefault="00914D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E4E13">
              <w:rPr>
                <w:rFonts w:ascii="Corbel" w:hAnsi="Corbel" w:cs="Corbel"/>
                <w:b w:val="0"/>
                <w:sz w:val="24"/>
                <w:szCs w:val="24"/>
              </w:rPr>
              <w:t xml:space="preserve">Spotkania: przemiana i opór – kulturowe aspekty zmiany, adaptacji i oporu </w:t>
            </w:r>
          </w:p>
        </w:tc>
      </w:tr>
      <w:tr w:rsidR="00A4691E" w14:paraId="511AF0A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2930A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F9D1B" w14:textId="77777777" w:rsidR="00A4691E" w:rsidRDefault="00A4691E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4691E" w14:paraId="4A040A5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FC47D" w14:textId="77777777" w:rsidR="00A4691E" w:rsidRDefault="00914DE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1A642" w14:textId="3CE1694D" w:rsidR="00A4691E" w:rsidRDefault="00E83E47">
            <w:pPr>
              <w:pStyle w:val="Odpowiedzi"/>
              <w:snapToGrid w:val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E83E47">
              <w:rPr>
                <w:rFonts w:ascii="Corbel" w:hAnsi="Corbel" w:cs="Corbel"/>
                <w:b w:val="0"/>
                <w:sz w:val="22"/>
                <w:szCs w:val="24"/>
              </w:rPr>
              <w:t>Instytut Filozofii</w:t>
            </w:r>
            <w:r w:rsidRPr="00E83E47">
              <w:rPr>
                <w:rFonts w:ascii="Corbel" w:hAnsi="Corbel" w:cs="Corbel"/>
                <w:sz w:val="22"/>
                <w:szCs w:val="24"/>
              </w:rPr>
              <w:t xml:space="preserve"> </w:t>
            </w:r>
            <w:r>
              <w:rPr>
                <w:rFonts w:ascii="Corbel" w:hAnsi="Corbel" w:cs="Corbel"/>
                <w:sz w:val="22"/>
                <w:szCs w:val="24"/>
              </w:rPr>
              <w:t xml:space="preserve"> UR, </w:t>
            </w:r>
            <w:r w:rsidR="00914DEF">
              <w:rPr>
                <w:rFonts w:ascii="Corbel" w:hAnsi="Corbel" w:cs="Corbel"/>
                <w:b w:val="0"/>
                <w:sz w:val="22"/>
                <w:szCs w:val="24"/>
              </w:rPr>
              <w:t xml:space="preserve">Kolegium </w:t>
            </w:r>
            <w:r w:rsidR="00A1006B">
              <w:rPr>
                <w:rFonts w:ascii="Corbel" w:hAnsi="Corbel" w:cs="Corbel"/>
                <w:b w:val="0"/>
                <w:sz w:val="22"/>
                <w:szCs w:val="24"/>
              </w:rPr>
              <w:t>Nauk Humanistycznych</w:t>
            </w:r>
          </w:p>
        </w:tc>
      </w:tr>
      <w:tr w:rsidR="00A4691E" w14:paraId="38C97AA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CA530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9DB29" w14:textId="2E917110" w:rsidR="00A4691E" w:rsidRDefault="00914DEF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  <w:r w:rsidR="00E83E47">
              <w:rPr>
                <w:rFonts w:ascii="Corbel" w:hAnsi="Corbel" w:cs="Corbel"/>
                <w:b w:val="0"/>
                <w:sz w:val="24"/>
                <w:szCs w:val="24"/>
              </w:rPr>
              <w:t xml:space="preserve"> UR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/Zakład Filozofii Człowieka</w:t>
            </w:r>
          </w:p>
        </w:tc>
      </w:tr>
      <w:tr w:rsidR="00A4691E" w14:paraId="41C7FC9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237F3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9275D" w14:textId="43A73BBD" w:rsidR="00A4691E" w:rsidRDefault="00FD6BD7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A4691E" w14:paraId="53AB383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12217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596E8" w14:textId="38C94F7B" w:rsidR="00A4691E" w:rsidRDefault="00FD6BD7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</w:p>
        </w:tc>
      </w:tr>
      <w:tr w:rsidR="00A4691E" w14:paraId="1CD37C3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8926F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6A136" w14:textId="626A3403" w:rsidR="00A4691E" w:rsidRDefault="00FD6BD7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4691E" w14:paraId="6828DB3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23874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CA37E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A4691E" w14:paraId="2AE9E16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F6B10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AE543" w14:textId="77777777" w:rsidR="00A4691E" w:rsidRDefault="00835DF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II semestr</w:t>
            </w:r>
          </w:p>
        </w:tc>
      </w:tr>
      <w:tr w:rsidR="00A4691E" w14:paraId="73E1A48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927BD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66DDD" w14:textId="7891CFCF" w:rsidR="00A4691E" w:rsidRDefault="00914DE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A4691E" w14:paraId="468E159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1C8CD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140C1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(angielski)</w:t>
            </w:r>
          </w:p>
        </w:tc>
      </w:tr>
      <w:tr w:rsidR="00A4691E" w14:paraId="350373B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FF848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4D09A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A4691E" w14:paraId="783CBD5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C2B05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B4758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14:paraId="4D392359" w14:textId="77777777" w:rsidR="00A4691E" w:rsidRDefault="00914DE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proofErr w:type="spellStart"/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14:paraId="240DFEB3" w14:textId="77777777" w:rsidR="00A4691E" w:rsidRDefault="00A4691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F0EC0C" w14:textId="77777777" w:rsidR="00A4691E" w:rsidRDefault="00914DE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09C6C18" w14:textId="77777777" w:rsidR="00A4691E" w:rsidRDefault="00A4691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 w:rsidR="00A4691E" w14:paraId="6FE5E8A1" w14:textId="77777777" w:rsidTr="00FD6BD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B7F22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78E77C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564DE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B4828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BE026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305CB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21D7A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1BE58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FF476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21912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8CF50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4691E" w14:paraId="5487C319" w14:textId="77777777" w:rsidTr="00FD6BD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A6E02" w14:textId="1F5A3521" w:rsidR="00A4691E" w:rsidRDefault="00FD6B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B36F1" w14:textId="77777777" w:rsidR="00A4691E" w:rsidRDefault="003306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78AD4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5A13C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759CF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D30F7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C5A9B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CD535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C377C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952BC" w14:textId="77777777" w:rsidR="00A4691E" w:rsidRDefault="00AE02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7338425" w14:textId="77777777" w:rsidR="00A4691E" w:rsidRDefault="00A4691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6164AB" w14:textId="77777777" w:rsidR="00A4691E" w:rsidRDefault="00A4691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95FDD2C" w14:textId="77777777" w:rsidR="00A4691E" w:rsidRDefault="00914DE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DB4ADEF" w14:textId="77777777" w:rsidR="00A4691E" w:rsidRDefault="00914DE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E83E47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7819891" w14:textId="77777777" w:rsidR="00A4691E" w:rsidRDefault="00914DE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E83E47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41C6DE59" w14:textId="77777777" w:rsidR="00A4691E" w:rsidRDefault="00A469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4CD6ED" w14:textId="77777777" w:rsidR="00A4691E" w:rsidRDefault="00914DE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 w:val="0"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6FDDE65C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DB5454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3EEC90" w14:textId="77777777" w:rsidR="00A4691E" w:rsidRDefault="00914DE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A4691E" w14:paraId="3593BC8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6262F" w14:textId="77777777" w:rsidR="00A4691E" w:rsidRDefault="00A469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2F392B2" w14:textId="77777777" w:rsidR="00A4691E" w:rsidRDefault="00914DEF">
            <w:pPr>
              <w:snapToGrid w:val="0"/>
            </w:pPr>
            <w:r>
              <w:t>Wiedza ogólna z zakresu nauk o kulturze.</w:t>
            </w:r>
          </w:p>
          <w:p w14:paraId="454F844A" w14:textId="77777777" w:rsidR="00A4691E" w:rsidRDefault="00914DEF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lastRenderedPageBreak/>
              <w:t>Podstawowa orientacja w zagadnieniach historii świata i Europy.</w:t>
            </w:r>
          </w:p>
          <w:p w14:paraId="1692EB9E" w14:textId="77777777" w:rsidR="00A4691E" w:rsidRDefault="00A4691E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</w:p>
          <w:p w14:paraId="1D65D2FC" w14:textId="77777777" w:rsidR="00A4691E" w:rsidRDefault="00914DEF">
            <w:pPr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  <w:t>UWAGA</w:t>
            </w: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: kurs zakłada wysoki stopień zaangażowania słuchaczy i ich aktywne uczestnictwo we własnej pracy projektowo-analitycznej</w:t>
            </w:r>
          </w:p>
          <w:p w14:paraId="665BC511" w14:textId="77777777" w:rsidR="00A4691E" w:rsidRDefault="00A4691E">
            <w:pPr>
              <w:snapToGrid w:val="0"/>
              <w:spacing w:before="40" w:after="40"/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</w:pPr>
          </w:p>
          <w:p w14:paraId="69A40DDE" w14:textId="77777777" w:rsidR="00A4691E" w:rsidRDefault="00914DEF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Wskazana jest znajomość języka angielskiego na poziomie pozwalającym na lekturę materiałów (ref. B1-B2)</w:t>
            </w:r>
          </w:p>
          <w:p w14:paraId="55B4DEAE" w14:textId="77777777" w:rsidR="00A4691E" w:rsidRDefault="00A4691E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</w:p>
          <w:p w14:paraId="16CF9BAB" w14:textId="77777777" w:rsidR="00A4691E" w:rsidRDefault="00914DEF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Wykład jest prowadzony metodą mieszaną z partycypacją słuchaczy.</w:t>
            </w:r>
          </w:p>
        </w:tc>
      </w:tr>
    </w:tbl>
    <w:p w14:paraId="7FB42C81" w14:textId="77777777" w:rsidR="00A4691E" w:rsidRDefault="00A4691E">
      <w:pPr>
        <w:pStyle w:val="Punktygwne"/>
        <w:spacing w:before="0" w:after="0"/>
        <w:rPr>
          <w:rFonts w:ascii="Corbel" w:hAnsi="Corbel"/>
          <w:szCs w:val="24"/>
        </w:rPr>
      </w:pPr>
    </w:p>
    <w:p w14:paraId="3E1C4A2C" w14:textId="77777777" w:rsidR="00A4691E" w:rsidRDefault="00914DE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5E5656D2" w14:textId="77777777" w:rsidR="00A4691E" w:rsidRDefault="00A4691E">
      <w:pPr>
        <w:pStyle w:val="Punktygwne"/>
        <w:spacing w:before="0" w:after="0"/>
        <w:rPr>
          <w:rFonts w:ascii="Corbel" w:hAnsi="Corbel"/>
          <w:szCs w:val="24"/>
        </w:rPr>
      </w:pPr>
    </w:p>
    <w:p w14:paraId="314D9227" w14:textId="77777777" w:rsidR="00A4691E" w:rsidRDefault="00914DE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7ECB02C" w14:textId="77777777" w:rsidR="00A4691E" w:rsidRDefault="00A4691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8820"/>
      </w:tblGrid>
      <w:tr w:rsidR="00A4691E" w14:paraId="753AF799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F3ED6" w14:textId="77777777" w:rsidR="00A4691E" w:rsidRDefault="00A469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A49B9" w14:textId="77777777" w:rsidR="00A4691E" w:rsidRDefault="00914DEF">
            <w:pPr>
              <w:snapToGrid w:val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Przedmiot poświęcony jest zagadnieniom związanym z kulturowymi aspektami przemian społecznych i związanych z nimi praktykami i pracy wyobraźni skupionymi wokół wątków indywidualnej i społecznej mocy i bezsilności, figur oporu, akceptacji, adaptacji i przekształcenia.</w:t>
            </w:r>
          </w:p>
        </w:tc>
      </w:tr>
      <w:tr w:rsidR="00A4691E" w14:paraId="18F14BFC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9AE07" w14:textId="77777777" w:rsidR="00A4691E" w:rsidRDefault="00914DEF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62FB7" w14:textId="77777777" w:rsidR="00A4691E" w:rsidRDefault="00914DEF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Prezentacja problematyki zmiany kulturowej i społecznej: skrót historyczny i zagadnienia aktualne</w:t>
            </w:r>
          </w:p>
        </w:tc>
      </w:tr>
      <w:tr w:rsidR="00A4691E" w14:paraId="0C324630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CC77A" w14:textId="77777777" w:rsidR="00A4691E" w:rsidRDefault="00914DEF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D97B8" w14:textId="77777777" w:rsidR="00A4691E" w:rsidRDefault="00914DEF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Analiza wybranych konstruktów i artefaktów kulturowych w tym kontekście (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case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studies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</w:t>
            </w:r>
          </w:p>
        </w:tc>
      </w:tr>
      <w:tr w:rsidR="00A4691E" w14:paraId="62701609" w14:textId="77777777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B58D4" w14:textId="77777777" w:rsidR="00A4691E" w:rsidRDefault="00914DEF">
            <w:pPr>
              <w:pStyle w:val="Podpunkty"/>
              <w:spacing w:before="40" w:after="40"/>
              <w:ind w:left="0"/>
              <w:jc w:val="left"/>
            </w:pPr>
            <w:r>
              <w:t>C3</w:t>
            </w:r>
          </w:p>
        </w:tc>
        <w:tc>
          <w:tcPr>
            <w:tcW w:w="8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BC276" w14:textId="77777777" w:rsidR="00A4691E" w:rsidRDefault="00914DEF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Przygotowanie słuchaczy do krytycznej analizy postaw i praktyk związanych z tym zagadnieniem, rozpoznawania aporii, sposobów reprezentacji (w tym re-reprezentacji, zastępstwa i zawłaszczenia 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antyreprezentacji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 tych treści. (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case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studies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</w:t>
            </w:r>
          </w:p>
        </w:tc>
      </w:tr>
    </w:tbl>
    <w:p w14:paraId="010A4A10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C805C8" w14:textId="77777777" w:rsidR="00A4691E" w:rsidRDefault="00914DE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4E928573" w14:textId="77777777" w:rsidR="00A4691E" w:rsidRDefault="00A4691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A4691E" w14:paraId="2E36D70D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6702A" w14:textId="77777777" w:rsidR="00A4691E" w:rsidRDefault="00914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9F59F" w14:textId="77777777" w:rsidR="00A4691E" w:rsidRDefault="00914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079A1" w14:textId="77777777" w:rsidR="00A4691E" w:rsidRDefault="00914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691E" w14:paraId="0667EABA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4E518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57540" w14:textId="77777777" w:rsidR="00A4691E" w:rsidRDefault="00914DEF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Słuchacz jest zorientowany w problematyce związanej z zagadnieniem zmiany społecznej i kulturowej, potrafi omówić wybrane historyczne i współczesne przykłady i główne ich elementy.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0068C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 K_W05</w:t>
            </w:r>
          </w:p>
        </w:tc>
      </w:tr>
      <w:tr w:rsidR="00A4691E" w14:paraId="632751C1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48815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57567" w14:textId="77777777" w:rsidR="00A4691E" w:rsidRDefault="00914DEF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Słuchacz potrafi dokonać krytycznej analizy wybranych obiektów (artefakty, postawy, praktyki bądź koncepcje).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5E036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K_U03, K_U07, K_K01, K_K04</w:t>
            </w:r>
          </w:p>
        </w:tc>
      </w:tr>
      <w:tr w:rsidR="00A4691E" w14:paraId="60DA1FA3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846A8" w14:textId="77777777" w:rsidR="00A4691E" w:rsidRDefault="00914DE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B8A4C" w14:textId="77777777" w:rsidR="00A4691E" w:rsidRDefault="00914DEF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Słuchacz potrafi samodzielnie odnajdywać niezbędne materiały do pracy własnej związanej z zagadnieniami problemowymi.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7BC6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K_U09</w:t>
            </w:r>
          </w:p>
        </w:tc>
      </w:tr>
    </w:tbl>
    <w:p w14:paraId="2AFC9FB6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87C762" w14:textId="77777777" w:rsidR="00A4691E" w:rsidRDefault="00914DE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4BF8D244" w14:textId="77777777" w:rsidR="00A4691E" w:rsidRDefault="00914DE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3A7687A" w14:textId="77777777" w:rsidR="00A4691E" w:rsidRDefault="00A4691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A4691E" w14:paraId="3D7F93E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FC7C4" w14:textId="77777777" w:rsidR="00A4691E" w:rsidRDefault="00914D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691E" w14:paraId="50F4095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AD040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1. Kategorie trwałości i zmienności kulturowej – konstrukty społeczne i praktyki zmiany/konserwacji, oporu/adaptacji/podporządkowania.</w:t>
            </w:r>
          </w:p>
        </w:tc>
      </w:tr>
      <w:tr w:rsidR="00A4691E" w14:paraId="2FA1E2E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6D2CD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2. Strategie konfrontacji i unikania: bunt, rewolta, opóźnienie i dysocjacja; przykłady historyczne i współczesne.</w:t>
            </w:r>
          </w:p>
        </w:tc>
      </w:tr>
      <w:tr w:rsidR="00A4691E" w14:paraId="1375FE1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AAF5A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3. Moc społeczna i praktyka – strategie bezsilnych.</w:t>
            </w:r>
          </w:p>
        </w:tc>
      </w:tr>
      <w:tr w:rsidR="00A4691E" w14:paraId="1C6A445B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09B15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4. Konceptualizacje oporu, adaptacji i zmiany</w:t>
            </w:r>
          </w:p>
        </w:tc>
      </w:tr>
      <w:tr w:rsidR="00A4691E" w14:paraId="5DA0E9DA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D14BA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5. Praca z  wybranymi przykładami (</w:t>
            </w:r>
            <w:r>
              <w:rPr>
                <w:rFonts w:ascii="Corbel" w:hAnsi="Corbel" w:cs="Corbel"/>
                <w:i/>
                <w:iCs/>
                <w:sz w:val="24"/>
                <w:szCs w:val="24"/>
              </w:rPr>
              <w:t xml:space="preserve">Case </w:t>
            </w:r>
            <w:proofErr w:type="spellStart"/>
            <w:r>
              <w:rPr>
                <w:rFonts w:ascii="Corbel" w:hAnsi="Corbel" w:cs="Corbel"/>
                <w:i/>
                <w:iCs/>
                <w:sz w:val="24"/>
                <w:szCs w:val="24"/>
              </w:rPr>
              <w:t>studies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</w:tr>
      <w:tr w:rsidR="00A4691E" w14:paraId="64DF13DA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83893" w14:textId="77777777" w:rsidR="00A4691E" w:rsidRDefault="00A4691E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5D0971BB" w14:textId="77777777" w:rsidR="00A4691E" w:rsidRDefault="00A4691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5CE893" w14:textId="77777777" w:rsidR="00A4691E" w:rsidRDefault="00914DE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D5340D8" w14:textId="77777777" w:rsidR="00A4691E" w:rsidRDefault="00A4691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A4691E" w14:paraId="2D79001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B7875" w14:textId="77777777" w:rsidR="00A4691E" w:rsidRDefault="00914D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691E" w14:paraId="0579ED8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629AF" w14:textId="77777777" w:rsidR="00A4691E" w:rsidRDefault="00A469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4691E" w14:paraId="2232DFF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AFEEF" w14:textId="77777777" w:rsidR="00A4691E" w:rsidRDefault="00A469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4691E" w14:paraId="1D00C6B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67846" w14:textId="77777777" w:rsidR="00A4691E" w:rsidRDefault="00A469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1D4E1B4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E39434" w14:textId="77777777" w:rsidR="00A4691E" w:rsidRDefault="00914DE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1BB95241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954668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0CBABF81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z prezentacją multimedialną, metody kształcenia na odległość </w:t>
      </w:r>
    </w:p>
    <w:p w14:paraId="7351626B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1439A9AC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527585E3" w14:textId="77777777" w:rsidR="00A4691E" w:rsidRDefault="00A469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9E3108" w14:textId="77777777" w:rsidR="00A4691E" w:rsidRDefault="00A469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1D6020" w14:textId="77777777" w:rsidR="006427B4" w:rsidRDefault="006427B4" w:rsidP="006427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1DFD9C8B" w14:textId="77777777" w:rsidR="006427B4" w:rsidRDefault="006427B4" w:rsidP="006427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6B5012" w14:textId="77777777" w:rsidR="006427B4" w:rsidRDefault="006427B4" w:rsidP="006427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0EB98A2" w14:textId="77777777" w:rsidR="006427B4" w:rsidRDefault="006427B4" w:rsidP="006427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6427B4" w14:paraId="523B95FF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B4D61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44381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7FE675B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FF070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47E57C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427B4" w14:paraId="0B471F51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62A35" w14:textId="77777777" w:rsidR="006427B4" w:rsidRDefault="006427B4" w:rsidP="00B8366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E1389" w14:textId="77777777" w:rsidR="006427B4" w:rsidRDefault="006427B4" w:rsidP="00B8366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05845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27B4" w14:paraId="77765CDF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92E82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A0107" w14:textId="77777777" w:rsidR="006427B4" w:rsidRDefault="006427B4" w:rsidP="00B8366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62E2E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27B4" w14:paraId="0F112BFE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5BFC4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A7348" w14:textId="77777777" w:rsidR="006427B4" w:rsidRDefault="006427B4" w:rsidP="00B8366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56A05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27B4" w14:paraId="7D63E14B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17183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C77F2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25215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BC6E936" w14:textId="77777777" w:rsidR="006427B4" w:rsidRDefault="006427B4" w:rsidP="006427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EDBD46" w14:textId="77777777" w:rsidR="006427B4" w:rsidRDefault="006427B4" w:rsidP="006427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7382D542" w14:textId="77777777" w:rsidR="006427B4" w:rsidRDefault="006427B4" w:rsidP="006427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427B4" w14:paraId="4FA69339" w14:textId="77777777" w:rsidTr="00B8366F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C32F8" w14:textId="77777777" w:rsidR="006427B4" w:rsidRPr="00210ABC" w:rsidRDefault="006427B4" w:rsidP="00B8366F">
            <w:pPr>
              <w:numPr>
                <w:ilvl w:val="0"/>
                <w:numId w:val="3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 w:rsidRPr="00210ABC">
              <w:rPr>
                <w:rFonts w:ascii="Corbel" w:hAnsi="Corbel"/>
                <w:sz w:val="24"/>
                <w:szCs w:val="24"/>
              </w:rPr>
              <w:t xml:space="preserve">Ocena aktywności na zajęciach (udział w dyskusji, opanowanie materiału); </w:t>
            </w:r>
          </w:p>
          <w:p w14:paraId="097C46D0" w14:textId="77777777" w:rsidR="006427B4" w:rsidRPr="00210ABC" w:rsidRDefault="006427B4" w:rsidP="00B836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Szczegółowe kryteria:5,0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7FB550A2" w14:textId="77777777" w:rsidR="006427B4" w:rsidRPr="00210ABC" w:rsidRDefault="006427B4" w:rsidP="00B8366F">
            <w:pPr>
              <w:snapToGrid w:val="0"/>
              <w:ind w:left="720"/>
              <w:rPr>
                <w:rFonts w:ascii="Corbel" w:hAnsi="Corbel"/>
                <w:sz w:val="24"/>
                <w:szCs w:val="24"/>
              </w:rPr>
            </w:pPr>
          </w:p>
          <w:p w14:paraId="69E34418" w14:textId="77777777" w:rsidR="006427B4" w:rsidRPr="00210ABC" w:rsidRDefault="006427B4" w:rsidP="00B8366F">
            <w:pPr>
              <w:numPr>
                <w:ilvl w:val="0"/>
                <w:numId w:val="3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 w:rsidRPr="00210ABC">
              <w:rPr>
                <w:rFonts w:ascii="Corbel" w:hAnsi="Corbel"/>
                <w:sz w:val="24"/>
                <w:szCs w:val="24"/>
              </w:rPr>
              <w:t>Zaliczenie wszystkich zadań zleconych</w:t>
            </w:r>
          </w:p>
          <w:p w14:paraId="4EB846A0" w14:textId="77777777" w:rsidR="006427B4" w:rsidRPr="00210ABC" w:rsidRDefault="006427B4" w:rsidP="00B8366F">
            <w:pPr>
              <w:numPr>
                <w:ilvl w:val="0"/>
                <w:numId w:val="3"/>
              </w:num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  <w:r w:rsidRPr="00210ABC">
              <w:rPr>
                <w:rFonts w:ascii="Corbel" w:hAnsi="Corbel" w:cs="Corbel"/>
                <w:sz w:val="24"/>
                <w:szCs w:val="24"/>
              </w:rPr>
              <w:t>Wykonanie pracy zaliczeniowej;</w:t>
            </w:r>
          </w:p>
          <w:p w14:paraId="0E7A5646" w14:textId="77777777" w:rsidR="006427B4" w:rsidRPr="00210ABC" w:rsidRDefault="006427B4" w:rsidP="00B8366F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064C6F5C" w14:textId="77777777" w:rsidR="006427B4" w:rsidRPr="00210ABC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Kryteria szczegółowe: 0-25 pkt – 2,0; 26-30 pkt – 3,0;31-35 pkt  – 3,5;36-40 pkt  – 4,0;41-45  pkt– 4,5;46-50 pkt – 5,0   </w:t>
            </w:r>
          </w:p>
          <w:p w14:paraId="3D58CB2D" w14:textId="77777777" w:rsidR="006427B4" w:rsidRPr="00210ABC" w:rsidRDefault="006427B4" w:rsidP="00B8366F">
            <w:p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</w:p>
          <w:p w14:paraId="12776461" w14:textId="77777777" w:rsidR="006427B4" w:rsidRPr="00210ABC" w:rsidRDefault="006427B4" w:rsidP="00B8366F">
            <w:pPr>
              <w:snapToGrid w:val="0"/>
              <w:spacing w:after="0"/>
              <w:rPr>
                <w:rFonts w:ascii="Corbel" w:hAnsi="Corbel" w:cs="Corbel"/>
                <w:i/>
                <w:iCs/>
                <w:sz w:val="24"/>
                <w:szCs w:val="24"/>
              </w:rPr>
            </w:pPr>
            <w:r w:rsidRPr="00210ABC">
              <w:rPr>
                <w:rFonts w:ascii="Corbel" w:hAnsi="Corbel" w:cs="Corbel"/>
                <w:i/>
                <w:iCs/>
                <w:sz w:val="24"/>
                <w:szCs w:val="24"/>
              </w:rPr>
              <w:t>niezależnie od języka głównego przedmiotu, wszystkie zadania pisemne mogą być przedstawiane w języku angielskim.</w:t>
            </w:r>
          </w:p>
          <w:p w14:paraId="0952875A" w14:textId="77777777" w:rsidR="006427B4" w:rsidRPr="00210ABC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1F3E52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0D49281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054C43" w14:textId="77777777" w:rsidR="00A4691E" w:rsidRDefault="00914DE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4B614F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A4691E" w14:paraId="56E398F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0EBAA" w14:textId="77777777" w:rsidR="00A4691E" w:rsidRDefault="00914D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DBC0A" w14:textId="77777777" w:rsidR="00A4691E" w:rsidRDefault="00914D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A4691E" w14:paraId="49D8AD4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FDA39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wynikające</w:t>
            </w:r>
            <w:r>
              <w:t>z</w:t>
            </w:r>
            <w:proofErr w:type="spellEnd"/>
            <w:r>
              <w:t> </w:t>
            </w:r>
            <w:proofErr w:type="spellStart"/>
            <w:r>
              <w:t>harmonogramu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3BA24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A4691E" w14:paraId="2CA5F45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B569B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EB6476F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F3FF8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4691E" w14:paraId="338697F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BB958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2225BF4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E8A91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A4691E" w14:paraId="7392197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FEC64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C8B20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4691E" w14:paraId="01CABBF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72DEA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93B75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9AB37F" w14:textId="77777777" w:rsidR="00A4691E" w:rsidRDefault="00914DE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E50022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42DF88" w14:textId="77777777" w:rsidR="00A4691E" w:rsidRDefault="00914D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A8653AC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A4691E" w14:paraId="3C9C44D3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4E392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B3C11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4691E" w14:paraId="0DF8CC5B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914D0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05850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CC489FD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EE7AF7" w14:textId="77777777" w:rsidR="00A4691E" w:rsidRDefault="00914D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69F01737" w14:textId="77777777" w:rsidR="00A4691E" w:rsidRDefault="00A469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3"/>
      </w:tblGrid>
      <w:tr w:rsidR="00A4691E" w14:paraId="7D474B2D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78FBE" w14:textId="77777777" w:rsidR="00A4691E" w:rsidRDefault="00914DE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12420B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A7C678D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Corbel"/>
                <w:sz w:val="20"/>
                <w:szCs w:val="20"/>
              </w:rPr>
              <w:t xml:space="preserve">Pasieka A., Zielińska K. (red) (2015) </w:t>
            </w:r>
            <w:r>
              <w:rPr>
                <w:rFonts w:ascii="Times New Roman" w:hAnsi="Times New Roman" w:cs="Corbel"/>
                <w:i/>
                <w:iCs/>
                <w:sz w:val="20"/>
                <w:szCs w:val="20"/>
              </w:rPr>
              <w:t>Opór i dominacja : antologia tekstów</w:t>
            </w:r>
            <w:r>
              <w:rPr>
                <w:rFonts w:ascii="Times New Roman" w:hAnsi="Times New Roman" w:cs="Corbel"/>
                <w:sz w:val="20"/>
                <w:szCs w:val="20"/>
              </w:rPr>
              <w:t>, NOMOS, Kraków</w:t>
            </w:r>
          </w:p>
          <w:p w14:paraId="419D77F8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Bartlett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R., (2003)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Tworzenie Europy : podbój, kolonizacja i przemiany kulturowe 950-1350,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przetł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[z ang.] Grażyna Waluga ; posł. opatrzył Piotr Górecki, Poznańskie Towarzystwo Przyjaciół Nauk, Poznań</w:t>
            </w:r>
          </w:p>
          <w:p w14:paraId="51104693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Arial CE" w:hAnsi="Times New Roman"/>
                <w:sz w:val="20"/>
                <w:szCs w:val="20"/>
              </w:rPr>
              <w:t>Bhabha</w:t>
            </w:r>
            <w:proofErr w:type="spellEnd"/>
            <w:r>
              <w:rPr>
                <w:rFonts w:ascii="Times New Roman" w:eastAsia="Arial CE" w:hAnsi="Times New Roman"/>
                <w:sz w:val="20"/>
                <w:szCs w:val="20"/>
              </w:rPr>
              <w:t xml:space="preserve"> H.K., (2010) </w:t>
            </w:r>
            <w:r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  <w:t>Miejsca kultury</w:t>
            </w:r>
            <w:r>
              <w:rPr>
                <w:rFonts w:ascii="Times New Roman" w:eastAsia="Arial CE" w:hAnsi="Times New Roman"/>
                <w:sz w:val="20"/>
                <w:szCs w:val="20"/>
              </w:rPr>
              <w:t>, przekł. [z ang.] Tomasz Dobrogoszcz, WUJ, Kraków</w:t>
            </w:r>
          </w:p>
          <w:p w14:paraId="78705B4D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Gawrycki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M., F., (red) (2012) Strategia mimikry : Ameryka Łacińska (i nie tylko) w ujęciu postkolonialnym, WUW Warszawa</w:t>
            </w:r>
          </w:p>
          <w:p w14:paraId="096B9A61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Bilińska-Suchanek E., (red) (2014)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Opór w kulturze : tradycja, edukacja, nowoczesność</w:t>
            </w:r>
            <w:r>
              <w:rPr>
                <w:rFonts w:ascii="Times New Roman" w:hAnsi="Times New Roman"/>
                <w:sz w:val="20"/>
                <w:szCs w:val="20"/>
              </w:rPr>
              <w:t>, Oficyna Wydawnicza Impuls, Kraków</w:t>
            </w:r>
          </w:p>
          <w:p w14:paraId="000E2308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Grotowska S., (2010)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Doświadczenia zmian społecznych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Nomos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Kraków</w:t>
            </w:r>
          </w:p>
          <w:p w14:paraId="39628854" w14:textId="77777777" w:rsidR="00A4691E" w:rsidRDefault="00914DEF">
            <w:proofErr w:type="spellStart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>Melosilk</w:t>
            </w:r>
            <w:proofErr w:type="spellEnd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 Z., Szymański M.J. (red) (2016) </w:t>
            </w:r>
            <w:r w:rsidRPr="0001491D"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</w:rPr>
              <w:t>Tożsamość w warunkach zmiany społecznej,</w:t>
            </w:r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 WAPS, Warszawa</w:t>
            </w:r>
          </w:p>
          <w:p w14:paraId="1414CE9E" w14:textId="77777777" w:rsidR="00A4691E" w:rsidRDefault="00914DEF">
            <w:pPr>
              <w:autoSpaceDE w:val="0"/>
              <w:snapToGrid w:val="0"/>
              <w:spacing w:after="0"/>
              <w:ind w:left="720"/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iCs/>
                <w:color w:val="000000"/>
                <w:sz w:val="20"/>
                <w:szCs w:val="20"/>
              </w:rPr>
              <w:t>(dodatkowo: aktualizowane na bieżąco materiały poglądowe i analityczne; materiały wideo, rejestracje i dokumentacje multimedialne)</w:t>
            </w:r>
          </w:p>
        </w:tc>
      </w:tr>
      <w:tr w:rsidR="00A4691E" w14:paraId="351CABB4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BFE00" w14:textId="77777777" w:rsidR="00A4691E" w:rsidRDefault="00914DE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EC1B31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3DC14CC" w14:textId="77777777" w:rsidR="00A4691E" w:rsidRPr="0001491D" w:rsidRDefault="00914DEF">
            <w:pPr>
              <w:rPr>
                <w:lang w:val="en-GB"/>
              </w:rPr>
            </w:pPr>
            <w:r w:rsidRPr="0001491D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Anderson B. (1997) </w:t>
            </w:r>
            <w:r w:rsidRPr="0001491D">
              <w:rPr>
                <w:rStyle w:val="Uwydatnienie"/>
                <w:rFonts w:ascii="Times New Roman" w:eastAsia="Times New Roman" w:hAnsi="Times New Roman"/>
                <w:sz w:val="20"/>
                <w:szCs w:val="20"/>
              </w:rPr>
              <w:t>Wspólnoty wyobrażone</w:t>
            </w:r>
            <w:r w:rsidRPr="0001491D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. </w:t>
            </w:r>
            <w:r w:rsidRPr="0001491D">
              <w:rPr>
                <w:rStyle w:val="Uwydatnienie"/>
                <w:rFonts w:ascii="Times New Roman" w:eastAsia="Times New Roman" w:hAnsi="Times New Roman"/>
                <w:sz w:val="20"/>
                <w:szCs w:val="20"/>
              </w:rPr>
              <w:t>Rozważania o źródłach i rozprzestrzenianiu się nacjonalizmu</w:t>
            </w:r>
            <w:r w:rsidRPr="0001491D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, tł. </w:t>
            </w:r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S. </w:t>
            </w:r>
            <w:proofErr w:type="spellStart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Amsterdamski</w:t>
            </w:r>
            <w:proofErr w:type="spellEnd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Znak</w:t>
            </w:r>
            <w:proofErr w:type="spellEnd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Kraków</w:t>
            </w:r>
            <w:proofErr w:type="spellEnd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 </w:t>
            </w:r>
          </w:p>
          <w:p w14:paraId="4D16A276" w14:textId="77777777" w:rsidR="00A4691E" w:rsidRPr="0001491D" w:rsidRDefault="00914DEF">
            <w:pPr>
              <w:rPr>
                <w:lang w:val="en-GB"/>
              </w:rPr>
            </w:pPr>
            <w:proofErr w:type="spellStart"/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Buchowski</w:t>
            </w:r>
            <w:proofErr w:type="spellEnd"/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 M., (2006)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The Specter of Orientalism in Europe: From Exotic Other to Stigmatized Brother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,  “Anthropological Quarterly”, 79(3) 2006, s. 463–82 (online: https://www.researchgate.net/publication/236794778_The_Specter_of_Orientalism_in_Europe_From_Exotic_Other_to_Stigmatized_Brother) </w:t>
            </w:r>
          </w:p>
          <w:p w14:paraId="7863663A" w14:textId="77777777" w:rsidR="00A4691E" w:rsidRPr="0001491D" w:rsidRDefault="00914DEF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>Mignolo</w:t>
            </w:r>
            <w:proofErr w:type="spellEnd"/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W., D., (2000) Local histories/ global designs : </w:t>
            </w:r>
            <w:proofErr w:type="spellStart"/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>coloniality</w:t>
            </w:r>
            <w:proofErr w:type="spellEnd"/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subaltern </w:t>
            </w:r>
            <w:proofErr w:type="spellStart"/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>knowledges</w:t>
            </w:r>
            <w:proofErr w:type="spellEnd"/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>, and border thinking, Princeton University Press, Princeton</w:t>
            </w:r>
          </w:p>
          <w:p w14:paraId="1855A55A" w14:textId="77777777" w:rsidR="00A4691E" w:rsidRPr="0001491D" w:rsidRDefault="00914DEF">
            <w:pPr>
              <w:rPr>
                <w:lang w:val="en-GB"/>
              </w:rPr>
            </w:pP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Saunders R.A.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 w:eastAsia="pl-PL"/>
              </w:rPr>
              <w:t>Zombies in the Colonies: Imperialism and Contestation of Ethno-Political Space in Max Brooks’ The Zombie Survival Guide,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 http://www.inter-disciplinary.net/at-the-interface/wp-content/uploads/2012/06/saundersmgpaper.pdf </w:t>
            </w:r>
          </w:p>
          <w:p w14:paraId="28B51EED" w14:textId="77777777" w:rsidR="00A4691E" w:rsidRDefault="00914DEF">
            <w:proofErr w:type="spellStart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Žižek</w:t>
            </w:r>
            <w:proofErr w:type="spellEnd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 S. (2011)  </w:t>
            </w:r>
            <w:r w:rsidRPr="0001491D"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Od tragedii do farsy. Czyli jak historia się powtarza</w:t>
            </w:r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, tł. M. Kropiwnicki, B. </w:t>
            </w:r>
            <w:proofErr w:type="spellStart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Szelewa</w:t>
            </w:r>
            <w:proofErr w:type="spellEnd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, Wydawnictwo Krytyki Politycznej, Warszawa</w:t>
            </w:r>
          </w:p>
          <w:p w14:paraId="47702A89" w14:textId="77777777" w:rsidR="00A4691E" w:rsidRDefault="00914DEF">
            <w:pPr>
              <w:autoSpaceDE w:val="0"/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color w:val="000000"/>
                <w:sz w:val="20"/>
                <w:szCs w:val="20"/>
              </w:rPr>
              <w:t>(dodatkowe materiały wybrane przez słuchaczy, materiały analityczne – w miarę możliwości: indywidualna i grupowa praca własna w terenie)</w:t>
            </w:r>
          </w:p>
        </w:tc>
      </w:tr>
    </w:tbl>
    <w:p w14:paraId="27F3DB61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33DA8D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54238C" w14:textId="77777777" w:rsidR="00A4691E" w:rsidRDefault="00914DEF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A4691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296F1" w14:textId="77777777" w:rsidR="00117E3E" w:rsidRDefault="00117E3E">
      <w:pPr>
        <w:spacing w:after="0" w:line="240" w:lineRule="auto"/>
      </w:pPr>
      <w:r>
        <w:separator/>
      </w:r>
    </w:p>
  </w:endnote>
  <w:endnote w:type="continuationSeparator" w:id="0">
    <w:p w14:paraId="1696C424" w14:textId="77777777" w:rsidR="00117E3E" w:rsidRDefault="00117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9B006" w14:textId="77777777" w:rsidR="00117E3E" w:rsidRDefault="00117E3E">
      <w:r>
        <w:separator/>
      </w:r>
    </w:p>
  </w:footnote>
  <w:footnote w:type="continuationSeparator" w:id="0">
    <w:p w14:paraId="42057F6B" w14:textId="77777777" w:rsidR="00117E3E" w:rsidRDefault="00117E3E">
      <w:r>
        <w:continuationSeparator/>
      </w:r>
    </w:p>
  </w:footnote>
  <w:footnote w:id="1">
    <w:p w14:paraId="6BA6F8EA" w14:textId="77777777" w:rsidR="00A4691E" w:rsidRDefault="00914DEF">
      <w:pPr>
        <w:pStyle w:val="Tekstprzypisudolnego"/>
      </w:pPr>
      <w:r>
        <w:rPr>
          <w:rStyle w:val="FootnoteCharacters"/>
        </w:rPr>
        <w:footnoteRef/>
      </w: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4CA6"/>
    <w:multiLevelType w:val="multilevel"/>
    <w:tmpl w:val="68ACF14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E65948"/>
    <w:multiLevelType w:val="multilevel"/>
    <w:tmpl w:val="F3F240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6BD0192"/>
    <w:multiLevelType w:val="multilevel"/>
    <w:tmpl w:val="CB9EF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91E"/>
    <w:rsid w:val="0001491D"/>
    <w:rsid w:val="00117E3E"/>
    <w:rsid w:val="001B3041"/>
    <w:rsid w:val="002E4E13"/>
    <w:rsid w:val="0033062E"/>
    <w:rsid w:val="00346D7F"/>
    <w:rsid w:val="005250D6"/>
    <w:rsid w:val="006427B4"/>
    <w:rsid w:val="006E0457"/>
    <w:rsid w:val="007576A6"/>
    <w:rsid w:val="00835DFD"/>
    <w:rsid w:val="00914DEF"/>
    <w:rsid w:val="00A1006B"/>
    <w:rsid w:val="00A4691E"/>
    <w:rsid w:val="00AE0293"/>
    <w:rsid w:val="00C73F0C"/>
    <w:rsid w:val="00CA2665"/>
    <w:rsid w:val="00E83E47"/>
    <w:rsid w:val="00EC0393"/>
    <w:rsid w:val="00FD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2C9EA"/>
  <w15:docId w15:val="{B0357383-5328-401D-8695-70C0039A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InternetLink">
    <w:name w:val="Internet Link"/>
    <w:uiPriority w:val="99"/>
    <w:unhideWhenUsed/>
    <w:rsid w:val="00B819C8"/>
    <w:rPr>
      <w:color w:val="0000FF"/>
      <w:u w:val="single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Quotation">
    <w:name w:val="Quotation"/>
    <w:qFormat/>
    <w:rPr>
      <w:i/>
    </w:rPr>
  </w:style>
  <w:style w:type="character" w:styleId="Uwydatnienie">
    <w:name w:val="Emphasis"/>
    <w:qFormat/>
    <w:rPr>
      <w:i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WW8Num2">
    <w:name w:val="WW8Num2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8873C-D295-447D-94F3-804544C4F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1296</Words>
  <Characters>7782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21</cp:revision>
  <cp:lastPrinted>2019-02-06T12:12:00Z</cp:lastPrinted>
  <dcterms:created xsi:type="dcterms:W3CDTF">2020-10-21T18:58:00Z</dcterms:created>
  <dcterms:modified xsi:type="dcterms:W3CDTF">2025-03-14T08:02:00Z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